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C2" w:rsidRDefault="00A457DB" w:rsidP="00A457DB">
      <w:pPr>
        <w:pStyle w:val="Standard"/>
        <w:tabs>
          <w:tab w:val="right" w:pos="9638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Pedagogiczna</w:t>
      </w:r>
      <w:r w:rsidR="001A73E2">
        <w:rPr>
          <w:rFonts w:ascii="Times New Roman" w:hAnsi="Times New Roman"/>
        </w:rPr>
        <w:tab/>
        <w:t>Pszczyna, 10.01.2019</w:t>
      </w:r>
      <w:r w:rsidR="00544529">
        <w:rPr>
          <w:rFonts w:ascii="Times New Roman" w:hAnsi="Times New Roman"/>
        </w:rPr>
        <w:t xml:space="preserve"> </w:t>
      </w:r>
      <w:r w:rsidR="001A73E2">
        <w:rPr>
          <w:rFonts w:ascii="Times New Roman" w:hAnsi="Times New Roman"/>
        </w:rPr>
        <w:t>r.</w:t>
      </w:r>
    </w:p>
    <w:p w:rsidR="00C933C2" w:rsidRDefault="00A457DB" w:rsidP="00A457D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Zespołu Szkół nr 1</w:t>
      </w:r>
    </w:p>
    <w:p w:rsidR="00A457DB" w:rsidRDefault="00A457DB" w:rsidP="00A457D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Pszczynie</w:t>
      </w:r>
    </w:p>
    <w:p w:rsidR="00C933C2" w:rsidRDefault="00C933C2" w:rsidP="00A457D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933C2" w:rsidRDefault="00C933C2" w:rsidP="00A457D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649A2" w:rsidRDefault="005649A2" w:rsidP="00A457D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E0FD5" w:rsidRDefault="008E0FD5" w:rsidP="00A457D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649A2" w:rsidRPr="005649A2" w:rsidRDefault="005649A2" w:rsidP="005649A2">
      <w:pPr>
        <w:pStyle w:val="Standard"/>
        <w:tabs>
          <w:tab w:val="left" w:pos="4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5649A2">
        <w:rPr>
          <w:rFonts w:ascii="Times New Roman" w:hAnsi="Times New Roman"/>
          <w:sz w:val="28"/>
          <w:szCs w:val="28"/>
        </w:rPr>
        <w:t xml:space="preserve">List </w:t>
      </w:r>
      <w:r>
        <w:rPr>
          <w:rFonts w:ascii="Times New Roman" w:hAnsi="Times New Roman"/>
          <w:sz w:val="28"/>
          <w:szCs w:val="28"/>
        </w:rPr>
        <w:t>o</w:t>
      </w:r>
      <w:r w:rsidRPr="005649A2">
        <w:rPr>
          <w:rFonts w:ascii="Times New Roman" w:hAnsi="Times New Roman"/>
          <w:sz w:val="28"/>
          <w:szCs w:val="28"/>
        </w:rPr>
        <w:t>twarty</w:t>
      </w:r>
    </w:p>
    <w:p w:rsidR="00A457DB" w:rsidRPr="005649A2" w:rsidRDefault="001A73E2" w:rsidP="00A457DB">
      <w:pPr>
        <w:pStyle w:val="Standard"/>
        <w:tabs>
          <w:tab w:val="left" w:pos="4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9A2">
        <w:rPr>
          <w:rFonts w:ascii="Times New Roman" w:hAnsi="Times New Roman"/>
          <w:sz w:val="28"/>
          <w:szCs w:val="28"/>
        </w:rPr>
        <w:tab/>
      </w:r>
      <w:r w:rsidR="005649A2" w:rsidRPr="005649A2">
        <w:rPr>
          <w:rFonts w:ascii="Times New Roman" w:hAnsi="Times New Roman"/>
          <w:sz w:val="28"/>
          <w:szCs w:val="28"/>
        </w:rPr>
        <w:t xml:space="preserve">do </w:t>
      </w:r>
      <w:r w:rsidRPr="005649A2">
        <w:rPr>
          <w:rFonts w:ascii="Times New Roman" w:hAnsi="Times New Roman"/>
          <w:sz w:val="28"/>
          <w:szCs w:val="28"/>
        </w:rPr>
        <w:t>Burmistrz</w:t>
      </w:r>
      <w:r w:rsidR="005649A2" w:rsidRPr="005649A2">
        <w:rPr>
          <w:rFonts w:ascii="Times New Roman" w:hAnsi="Times New Roman"/>
          <w:sz w:val="28"/>
          <w:szCs w:val="28"/>
        </w:rPr>
        <w:t>a</w:t>
      </w:r>
      <w:r w:rsidRPr="005649A2">
        <w:rPr>
          <w:rFonts w:ascii="Times New Roman" w:hAnsi="Times New Roman"/>
          <w:sz w:val="28"/>
          <w:szCs w:val="28"/>
        </w:rPr>
        <w:t xml:space="preserve"> Pszczyn</w:t>
      </w:r>
      <w:r w:rsidR="005649A2" w:rsidRPr="005649A2">
        <w:rPr>
          <w:rFonts w:ascii="Times New Roman" w:hAnsi="Times New Roman"/>
          <w:sz w:val="28"/>
          <w:szCs w:val="28"/>
        </w:rPr>
        <w:t>y</w:t>
      </w:r>
      <w:r w:rsidRPr="005649A2">
        <w:rPr>
          <w:rFonts w:ascii="Times New Roman" w:hAnsi="Times New Roman"/>
          <w:sz w:val="28"/>
          <w:szCs w:val="28"/>
        </w:rPr>
        <w:t xml:space="preserve"> </w:t>
      </w:r>
    </w:p>
    <w:p w:rsidR="00C933C2" w:rsidRPr="005649A2" w:rsidRDefault="00A457DB" w:rsidP="00A457DB">
      <w:pPr>
        <w:pStyle w:val="Standard"/>
        <w:tabs>
          <w:tab w:val="left" w:pos="4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9A2">
        <w:rPr>
          <w:rFonts w:ascii="Times New Roman" w:hAnsi="Times New Roman"/>
          <w:sz w:val="28"/>
          <w:szCs w:val="28"/>
        </w:rPr>
        <w:tab/>
      </w:r>
      <w:r w:rsidR="001A73E2" w:rsidRPr="005649A2">
        <w:rPr>
          <w:rFonts w:ascii="Times New Roman" w:hAnsi="Times New Roman"/>
          <w:sz w:val="28"/>
          <w:szCs w:val="28"/>
        </w:rPr>
        <w:t>Dariusz</w:t>
      </w:r>
      <w:r w:rsidR="005649A2" w:rsidRPr="005649A2">
        <w:rPr>
          <w:rFonts w:ascii="Times New Roman" w:hAnsi="Times New Roman"/>
          <w:sz w:val="28"/>
          <w:szCs w:val="28"/>
        </w:rPr>
        <w:t>a</w:t>
      </w:r>
      <w:r w:rsidR="001A73E2" w:rsidRPr="005649A2">
        <w:rPr>
          <w:rFonts w:ascii="Times New Roman" w:hAnsi="Times New Roman"/>
          <w:sz w:val="28"/>
          <w:szCs w:val="28"/>
        </w:rPr>
        <w:t xml:space="preserve"> Skr</w:t>
      </w:r>
      <w:bookmarkStart w:id="0" w:name="_GoBack"/>
      <w:bookmarkEnd w:id="0"/>
      <w:r w:rsidR="001A73E2" w:rsidRPr="005649A2">
        <w:rPr>
          <w:rFonts w:ascii="Times New Roman" w:hAnsi="Times New Roman"/>
          <w:sz w:val="28"/>
          <w:szCs w:val="28"/>
        </w:rPr>
        <w:t>obol</w:t>
      </w:r>
      <w:r w:rsidR="005649A2" w:rsidRPr="005649A2">
        <w:rPr>
          <w:rFonts w:ascii="Times New Roman" w:hAnsi="Times New Roman"/>
          <w:sz w:val="28"/>
          <w:szCs w:val="28"/>
        </w:rPr>
        <w:t>a</w:t>
      </w:r>
    </w:p>
    <w:p w:rsidR="00C933C2" w:rsidRDefault="00C933C2" w:rsidP="00A457D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A457DB" w:rsidRDefault="00A457DB" w:rsidP="00A457D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933C2" w:rsidRDefault="001A73E2" w:rsidP="00F82E9B">
      <w:pPr>
        <w:pStyle w:val="Standard"/>
        <w:keepLines/>
        <w:spacing w:before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Zaniepokojeni planowaną likwidacją Zespołu Szkół nr 1 i przekazaniem III Liceum Ogólnokształcącego w Pszczynie zarządowi powiatu zwracamy się do Pana z prośbą o wyjaśnienie naszych wątpliwości w następujących kwestiach:</w:t>
      </w:r>
    </w:p>
    <w:p w:rsidR="00C933C2" w:rsidRDefault="001A73E2" w:rsidP="00F82E9B">
      <w:pPr>
        <w:pStyle w:val="Standard"/>
        <w:keepLines/>
        <w:spacing w:before="120" w:line="360" w:lineRule="auto"/>
        <w:ind w:firstLine="567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W jakim zakresie budynek przy ulicy Kazimierza Wielkiego będzie w pełni zagospodarowany po wyprowadzeniu III LO (wykorzystanie możliwości lokalowych a koszty utrzymania budynku – przy mniejszej liczbie uczniów)?</w:t>
      </w:r>
    </w:p>
    <w:p w:rsidR="00C933C2" w:rsidRDefault="001A73E2" w:rsidP="00F82E9B">
      <w:pPr>
        <w:pStyle w:val="Standard"/>
        <w:keepLines/>
        <w:spacing w:before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Analiza danych zawartych w sprawozdaniu z audytu pokazuje, że nasza szkoła nie generuje wysokich kosztów w porównaniu z innymi placówkami.</w:t>
      </w:r>
    </w:p>
    <w:p w:rsidR="00C933C2" w:rsidRDefault="001A73E2" w:rsidP="00F82E9B">
      <w:pPr>
        <w:pStyle w:val="Standard"/>
        <w:keepLines/>
        <w:spacing w:before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nawiązaniu do Pana wypowiedzi podczas spotkani</w:t>
      </w:r>
      <w:r w:rsidR="00544529">
        <w:rPr>
          <w:rFonts w:ascii="Times New Roman" w:hAnsi="Times New Roman"/>
        </w:rPr>
        <w:t>a z Radą Pedagogiczną prosimy o </w:t>
      </w:r>
      <w:r>
        <w:rPr>
          <w:rFonts w:ascii="Times New Roman" w:hAnsi="Times New Roman"/>
        </w:rPr>
        <w:t>udzielenie odpowiedzi na pytania:</w:t>
      </w:r>
    </w:p>
    <w:p w:rsidR="00C933C2" w:rsidRDefault="001A73E2" w:rsidP="00F82E9B">
      <w:pPr>
        <w:pStyle w:val="Standard"/>
        <w:keepLines/>
        <w:spacing w:before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Kiedy i w jakim zakresie odbyły się konsultacje z Kuratorium Oświaty?</w:t>
      </w:r>
    </w:p>
    <w:p w:rsidR="00C933C2" w:rsidRDefault="001A73E2" w:rsidP="00F82E9B">
      <w:pPr>
        <w:pStyle w:val="Standard"/>
        <w:keepLines/>
        <w:spacing w:before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został sporządzony stosowny dokument?</w:t>
      </w:r>
    </w:p>
    <w:p w:rsidR="00C933C2" w:rsidRDefault="001A73E2" w:rsidP="00F82E9B">
      <w:pPr>
        <w:pStyle w:val="Standard"/>
        <w:keepLines/>
        <w:spacing w:before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Kto i kiedy z ramienia Kuratorium wydał na ten temat pozytywną opinię?</w:t>
      </w:r>
    </w:p>
    <w:p w:rsidR="00C933C2" w:rsidRDefault="001A73E2" w:rsidP="00F82E9B">
      <w:pPr>
        <w:pStyle w:val="Standard"/>
        <w:keepLines/>
        <w:spacing w:before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odniesieniu do propozycji rozwiązań zawartych w audycie dotyczących Zespołu Szkół nr 1 </w:t>
      </w:r>
      <w:r>
        <w:rPr>
          <w:rFonts w:ascii="Times New Roman" w:hAnsi="Times New Roman"/>
        </w:rPr>
        <w:br/>
        <w:t xml:space="preserve">w Pszczynie, w których jest mowa o bezpieczeństwie i warunkach kształcenia uczniów na różnych poziomach kształcenia pytamy, jak zapewnimy bezpieczeństwo i komfort edukacji młodzieży </w:t>
      </w:r>
      <w:r>
        <w:rPr>
          <w:rFonts w:ascii="Times New Roman" w:hAnsi="Times New Roman"/>
        </w:rPr>
        <w:br/>
        <w:t>w wieku 16 – 19 lat, w szkole przystosowanej do nauczania młodszych uczniów?</w:t>
      </w:r>
    </w:p>
    <w:p w:rsidR="00C933C2" w:rsidRDefault="001A73E2" w:rsidP="00F82E9B">
      <w:pPr>
        <w:pStyle w:val="Standard"/>
        <w:keepLines/>
        <w:spacing w:before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wzięto pod uwagę specjalne potrzeby uczniów LO, takie jak: parking dla uczniów dojeżdżających samochodami, dostosowanie księgozbioru biblioteki do podstawy programowej </w:t>
      </w:r>
      <w:r>
        <w:rPr>
          <w:rFonts w:ascii="Times New Roman" w:hAnsi="Times New Roman"/>
        </w:rPr>
        <w:br/>
        <w:t>w LO, możliwość korzystania ze stołówki?</w:t>
      </w:r>
    </w:p>
    <w:p w:rsidR="00C933C2" w:rsidRDefault="001A73E2" w:rsidP="00F82E9B">
      <w:pPr>
        <w:pStyle w:val="Standard"/>
        <w:keepLines/>
        <w:spacing w:before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 podstawie jakich danych statystycznych były dyrektor p. Damian Cieszewski oszacował możliwości lokalowe Zespołu Szkół nr 1, o których mówił na początku roku szkolnego 2018/2019 -  miały one gwarantować zmieszczenie podwójnego rocznika licealistów w budynku przy </w:t>
      </w:r>
      <w:r w:rsidR="00A457DB">
        <w:rPr>
          <w:rFonts w:ascii="Times New Roman" w:hAnsi="Times New Roman"/>
        </w:rPr>
        <w:t>ul. </w:t>
      </w:r>
      <w:r>
        <w:rPr>
          <w:rFonts w:ascii="Times New Roman" w:hAnsi="Times New Roman"/>
        </w:rPr>
        <w:t xml:space="preserve">Kazimierza Wielkiego. W tych szacunkach uwzględniono brak naboru do </w:t>
      </w:r>
      <w:r w:rsidR="00A457DB">
        <w:rPr>
          <w:rFonts w:ascii="Times New Roman" w:hAnsi="Times New Roman"/>
        </w:rPr>
        <w:t xml:space="preserve">klasy </w:t>
      </w:r>
      <w:r>
        <w:rPr>
          <w:rFonts w:ascii="Times New Roman" w:hAnsi="Times New Roman"/>
        </w:rPr>
        <w:t>VII i IV SP na rok szkolny 2019/2020.</w:t>
      </w:r>
    </w:p>
    <w:p w:rsidR="00C933C2" w:rsidRDefault="001A73E2" w:rsidP="00F82E9B">
      <w:pPr>
        <w:pStyle w:val="Standard"/>
        <w:keepLines/>
        <w:spacing w:before="120" w:line="360" w:lineRule="auto"/>
        <w:ind w:firstLine="567"/>
        <w:jc w:val="both"/>
      </w:pPr>
      <w:r>
        <w:rPr>
          <w:rFonts w:ascii="Times New Roman" w:hAnsi="Times New Roman"/>
        </w:rPr>
        <w:t xml:space="preserve">Chcielibyśmy również otrzymać informację na temat alternatywnych rozwiązań, </w:t>
      </w:r>
      <w:r>
        <w:rPr>
          <w:rFonts w:ascii="Times New Roman" w:hAnsi="Times New Roman"/>
        </w:rPr>
        <w:br/>
        <w:t xml:space="preserve">jak np. pozostawienie SP 1 w dwóch budynkach, tak jak to ma miejsce w tej chwili. Nie ukrywamy, że optymalnym rozwiązaniem zarówno dla uczniów, jak i nauczycieli byłoby pozostawienie nas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>w dotychczasowym budynku.</w:t>
      </w:r>
      <w:r w:rsidRPr="00FD73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Czy wobec tego istnieje możliwość finansowania przez budżet miasta budynku, w którym istnieje szkoła zarządzana przez powiat?</w:t>
      </w:r>
    </w:p>
    <w:p w:rsidR="00C933C2" w:rsidRDefault="001A73E2" w:rsidP="00F82E9B">
      <w:pPr>
        <w:pStyle w:val="Standard"/>
        <w:keepLines/>
        <w:spacing w:before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Analiza bazy dydaktyczno – lokalowej III LO wskazuje na to, że pozwala ona na wszechstronny rozwój młodzieży, zarówno na płaszczyźnie intelektualnej, jak i fizycznej. Doskonała baza lokalowa umożliwia uczniom zdobywanie wiedzy i umiejętności, dzięki którym zdają z sukcesem egzaminy maturalne, które z kolei pozwalają aplikować na wyższe uczelnie. Szczegółowe informacje znajdują się w załączniku nr 1.</w:t>
      </w:r>
    </w:p>
    <w:p w:rsidR="00C933C2" w:rsidRDefault="001A73E2" w:rsidP="00F82E9B">
      <w:pPr>
        <w:pStyle w:val="Standard"/>
        <w:keepLines/>
        <w:spacing w:before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Dzięki bazie lokalowej umożliwiamy uczniom i rod</w:t>
      </w:r>
      <w:r w:rsidR="005E418A">
        <w:rPr>
          <w:rFonts w:ascii="Times New Roman" w:hAnsi="Times New Roman"/>
        </w:rPr>
        <w:t>zicom indywidualne spotkania ze </w:t>
      </w:r>
      <w:r>
        <w:rPr>
          <w:rFonts w:ascii="Times New Roman" w:hAnsi="Times New Roman"/>
        </w:rPr>
        <w:t>specjalistami (pedagogiem, psychologiem, doradcą zawodowym), które w ograniczonej przestrzeni nie b</w:t>
      </w:r>
      <w:r w:rsidR="005E418A">
        <w:rPr>
          <w:rFonts w:ascii="Times New Roman" w:hAnsi="Times New Roman"/>
        </w:rPr>
        <w:t>ędą</w:t>
      </w:r>
      <w:r>
        <w:rPr>
          <w:rFonts w:ascii="Times New Roman" w:hAnsi="Times New Roman"/>
        </w:rPr>
        <w:t xml:space="preserve"> możliwe.</w:t>
      </w:r>
    </w:p>
    <w:p w:rsidR="00C933C2" w:rsidRDefault="001A73E2" w:rsidP="00F82E9B">
      <w:pPr>
        <w:pStyle w:val="Standard"/>
        <w:keepLines/>
        <w:spacing w:before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Najlepsza w Pszczynie baza sportowa zaowocowała licznymi sukcesami sportowymi na szczeblu powiatowym i wojewódzkim (siedem lat z rzędu III LO wygr</w:t>
      </w:r>
      <w:r w:rsidR="00C94C1B">
        <w:rPr>
          <w:rFonts w:ascii="Times New Roman" w:hAnsi="Times New Roman"/>
        </w:rPr>
        <w:t>ywa</w:t>
      </w:r>
      <w:r>
        <w:rPr>
          <w:rFonts w:ascii="Times New Roman" w:hAnsi="Times New Roman"/>
        </w:rPr>
        <w:t>ło współzawodnictwo sportowe powiatu pszczyńskiego). Infrastruktura sportowa umożliwia tworzenie klas z dodatkowymi godzinami wychowania fizycznego. Jaka jest alternatywa dla uczniów, którzy od września deklarowali podjęcie nauki w takich klasach? Nasi absolwenci osiągali również wybitne sukcesy jako sportowcy indywidualni, zarówno na szczeblu krajowym, jak i międzynarodowym.  Zróżnicowany sprzęt sportowy, który posiadamy, daje możliwość wyboru</w:t>
      </w:r>
      <w:r w:rsidR="00A457DB">
        <w:rPr>
          <w:rFonts w:ascii="Times New Roman" w:hAnsi="Times New Roman"/>
        </w:rPr>
        <w:t xml:space="preserve"> aktywności fizycznej zgodnej z </w:t>
      </w:r>
      <w:r>
        <w:rPr>
          <w:rFonts w:ascii="Times New Roman" w:hAnsi="Times New Roman"/>
        </w:rPr>
        <w:t>preferencjami ucznia. Dotychczas był to jeden z niepodważalnych atutów naszej szkoły, którego zostaniemy pozbawieni.</w:t>
      </w:r>
    </w:p>
    <w:p w:rsidR="00C933C2" w:rsidRDefault="001A73E2" w:rsidP="00F82E9B">
      <w:pPr>
        <w:pStyle w:val="Standard"/>
        <w:keepLines/>
        <w:spacing w:before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 pokazuje symulacja naboru do III LO, na przestrzeni 4 najbliższych lat (załącznik nr 2), </w:t>
      </w:r>
      <w:r>
        <w:rPr>
          <w:rFonts w:ascii="Times New Roman" w:hAnsi="Times New Roman"/>
        </w:rPr>
        <w:br/>
        <w:t>w budynku mieszczącym 14 sal, ma się docelowo (w roku szkolnym 2021</w:t>
      </w:r>
      <w:r w:rsidR="009735C8">
        <w:rPr>
          <w:rFonts w:ascii="Times New Roman" w:hAnsi="Times New Roman"/>
        </w:rPr>
        <w:t>/</w:t>
      </w:r>
      <w:r>
        <w:rPr>
          <w:rFonts w:ascii="Times New Roman" w:hAnsi="Times New Roman"/>
        </w:rPr>
        <w:t>2022) uczyć 20 oddziałów, w których realizowane będą zajęcia międzyoddziałowe z języków obcych (angielski, francuski, niemiecki, rosyjski</w:t>
      </w:r>
      <w:r w:rsidR="009735C8">
        <w:rPr>
          <w:rFonts w:ascii="Times New Roman" w:hAnsi="Times New Roman"/>
        </w:rPr>
        <w:t xml:space="preserve"> – wszystkie na dwóch poziomach dostosowanych do umiejętności uczniów</w:t>
      </w:r>
      <w:r>
        <w:rPr>
          <w:rFonts w:ascii="Times New Roman" w:hAnsi="Times New Roman"/>
        </w:rPr>
        <w:t>), które wymagają równ</w:t>
      </w:r>
      <w:r w:rsidR="00A457DB">
        <w:rPr>
          <w:rFonts w:ascii="Times New Roman" w:hAnsi="Times New Roman"/>
        </w:rPr>
        <w:t>oległego udostępnienia 5 sal. W </w:t>
      </w:r>
      <w:r>
        <w:rPr>
          <w:rFonts w:ascii="Times New Roman" w:hAnsi="Times New Roman"/>
        </w:rPr>
        <w:t>związku z tym, na realizację pozostałych zajęć przeznaczonych będzie jedynie 9 sal lekcyjnych. Niewystarczająca baza lokalowa spowoduje zmianowość nauki, co budzi nasze zaniepokojenie. Chęć uniknięcia dwuzmianowości w szkołach podstawowych wygeneruje dwuzmianowość w III LO.</w:t>
      </w:r>
    </w:p>
    <w:p w:rsidR="00C933C2" w:rsidRDefault="001A73E2" w:rsidP="00F82E9B">
      <w:pPr>
        <w:pStyle w:val="Standard"/>
        <w:keepLines/>
        <w:spacing w:before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Przeniesienie III LO do budynku na ulicy Stefana Batore</w:t>
      </w:r>
      <w:r w:rsidR="00A457DB">
        <w:rPr>
          <w:rFonts w:ascii="Times New Roman" w:hAnsi="Times New Roman"/>
        </w:rPr>
        <w:t>go uniemożliwi podjęcie nauki w </w:t>
      </w:r>
      <w:r>
        <w:rPr>
          <w:rFonts w:ascii="Times New Roman" w:hAnsi="Times New Roman"/>
        </w:rPr>
        <w:t xml:space="preserve">szkole średniej uczniom z niepełnosprawnością ruchową. Do tej </w:t>
      </w:r>
      <w:r w:rsidR="00A457DB">
        <w:rPr>
          <w:rFonts w:ascii="Times New Roman" w:hAnsi="Times New Roman"/>
        </w:rPr>
        <w:t>pory jesteśmy jedyną placówką w </w:t>
      </w:r>
      <w:r>
        <w:rPr>
          <w:rFonts w:ascii="Times New Roman" w:hAnsi="Times New Roman"/>
        </w:rPr>
        <w:t>pełni przystosowaną do potrzeb osób niepełnosprawnych (podjazd, schodołazy, toalety, szerokie korytarze). Tym samym uczniom o specjalnych potrzebach odebrana zostani</w:t>
      </w:r>
      <w:r w:rsidR="00A457DB">
        <w:rPr>
          <w:rFonts w:ascii="Times New Roman" w:hAnsi="Times New Roman"/>
        </w:rPr>
        <w:t>e możliwość kontynuacji nauki w </w:t>
      </w:r>
      <w:r>
        <w:rPr>
          <w:rFonts w:ascii="Times New Roman" w:hAnsi="Times New Roman"/>
        </w:rPr>
        <w:t>liceum, które jest w ich wypadku jedyną szansą edukacyjną.</w:t>
      </w:r>
    </w:p>
    <w:p w:rsidR="00C933C2" w:rsidRDefault="001A73E2" w:rsidP="00F82E9B">
      <w:pPr>
        <w:pStyle w:val="Standard"/>
        <w:keepLines/>
        <w:spacing w:before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Wyrażamy głębokie zaniepokojenie realną redukcją etatów nie tylko kadry nauczycielskiej, </w:t>
      </w:r>
      <w:r>
        <w:rPr>
          <w:rFonts w:ascii="Times New Roman" w:hAnsi="Times New Roman"/>
        </w:rPr>
        <w:br/>
        <w:t xml:space="preserve">ale także pracowników niepedagogicznych – nie chodzi nam wyłącznie o szczytowy rok naboru, </w:t>
      </w:r>
      <w:r>
        <w:rPr>
          <w:rFonts w:ascii="Times New Roman" w:hAnsi="Times New Roman"/>
        </w:rPr>
        <w:br/>
        <w:t>ale także o dłuższą perspektywę czasu. Czy wspomniani pracownicy niepedagogiczni będą mieli zagwarantowane zatrudnienie w dotychczasowym wymiarze godzin? Funkcjonowanie Zespołu Szkół nr 1 gwarantowało uczniom liceum stałą opiekę pedagoga, psychologa, doradcy zawodowego, higienistki, opiekę niezbędną dla wsparcia rozwoju na tym etapie życia.  Sporadyc</w:t>
      </w:r>
      <w:r w:rsidR="00E47363">
        <w:rPr>
          <w:rFonts w:ascii="Times New Roman" w:hAnsi="Times New Roman"/>
        </w:rPr>
        <w:t>zna opieka, wydaje się</w:t>
      </w:r>
      <w:r>
        <w:rPr>
          <w:rFonts w:ascii="Times New Roman" w:hAnsi="Times New Roman"/>
        </w:rPr>
        <w:t xml:space="preserve"> nie </w:t>
      </w:r>
      <w:r w:rsidR="00E47363">
        <w:rPr>
          <w:rFonts w:ascii="Times New Roman" w:hAnsi="Times New Roman"/>
        </w:rPr>
        <w:t>być</w:t>
      </w:r>
      <w:r>
        <w:rPr>
          <w:rFonts w:ascii="Times New Roman" w:hAnsi="Times New Roman"/>
        </w:rPr>
        <w:t xml:space="preserve"> wystarczająca dla młodzieży.</w:t>
      </w:r>
    </w:p>
    <w:p w:rsidR="00C933C2" w:rsidRDefault="001A73E2" w:rsidP="00F82E9B">
      <w:pPr>
        <w:pStyle w:val="Standard"/>
        <w:keepLines/>
        <w:spacing w:before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Wyprowadzenie części uczniów III LO wpłynie destrukcyjnie na atmosferę panującą w naszej szkole. Od 21 lat budujemy tożsamość szkoły, dbamy o przyjazną atmosferę, stawiamy </w:t>
      </w:r>
      <w:r>
        <w:rPr>
          <w:rFonts w:ascii="Times New Roman" w:hAnsi="Times New Roman"/>
        </w:rPr>
        <w:br/>
        <w:t xml:space="preserve">na współpracę ze środowiskiem lokalnym. Nasze starania zaowocowały tym, że o III LO mówi się, jak o szkole, w której uczniowie dobrze się czują i chętnie do niej przychodzą. Podział na dwa budynki przez najbliższe lata spowoduje dramatyczne przerwanie procesu integrowania się uczniów ze szkołą. Podejmowane do tej pory działania Samorządu Uczniowskiego będą niemożliwe </w:t>
      </w:r>
      <w:r w:rsidR="00A457DB">
        <w:rPr>
          <w:rFonts w:ascii="Times New Roman" w:hAnsi="Times New Roman"/>
        </w:rPr>
        <w:t>do </w:t>
      </w:r>
      <w:r>
        <w:rPr>
          <w:rFonts w:ascii="Times New Roman" w:hAnsi="Times New Roman"/>
        </w:rPr>
        <w:t>realizacji. W ten sposób odbiera się nam szansę realizacji także celów wychowawczych.</w:t>
      </w:r>
    </w:p>
    <w:p w:rsidR="00C933C2" w:rsidRDefault="001A73E2" w:rsidP="00F82E9B">
      <w:pPr>
        <w:pStyle w:val="Standard"/>
        <w:keepLines/>
        <w:spacing w:before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Podział szkoły na dwa budynki niesie ze sobą inne trudności organizac</w:t>
      </w:r>
      <w:r w:rsidR="00A457DB">
        <w:rPr>
          <w:rFonts w:ascii="Times New Roman" w:hAnsi="Times New Roman"/>
        </w:rPr>
        <w:t xml:space="preserve">yjne, takie jak: </w:t>
      </w:r>
      <w:r>
        <w:rPr>
          <w:rFonts w:ascii="Times New Roman" w:hAnsi="Times New Roman"/>
        </w:rPr>
        <w:t>stworzenie planu lekcji umożliwiającego nauczycielom doja</w:t>
      </w:r>
      <w:r w:rsidR="00A457DB">
        <w:rPr>
          <w:rFonts w:ascii="Times New Roman" w:hAnsi="Times New Roman"/>
        </w:rPr>
        <w:t>zd między budynkami, problemy z </w:t>
      </w:r>
      <w:r>
        <w:rPr>
          <w:rFonts w:ascii="Times New Roman" w:hAnsi="Times New Roman"/>
        </w:rPr>
        <w:t>zastępstwami oraz organizacją uroczystości szkolnych – gdzie będzie miało miejsce rozpoczęcie roku szkolnego, przeprowadzanie egzaminów zewnętrznych i rekrutacji?</w:t>
      </w:r>
    </w:p>
    <w:p w:rsidR="00C933C2" w:rsidRDefault="001A73E2" w:rsidP="00F82E9B">
      <w:pPr>
        <w:pStyle w:val="Standard"/>
        <w:keepLines/>
        <w:spacing w:before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Sugerowany nabór do 12 oddziałów klas pierwszych wiąże się z promocją szkoły wśród absolwentów gimnazjów i szkół podstawowych. Corocznie organizowaliśmy Dni Otwarte cieszące się dużą popularności</w:t>
      </w:r>
      <w:r w:rsidR="00851341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wśród młodzieży i przekładające się na satysfakcjonujący nabór do klas pierwszych. Zaproponowana reorganizacja całkowicie uniemożliwia nam przedstawienie</w:t>
      </w:r>
      <w:r w:rsidR="00851341">
        <w:rPr>
          <w:rFonts w:ascii="Times New Roman" w:hAnsi="Times New Roman"/>
        </w:rPr>
        <w:t xml:space="preserve"> rzetelnej oferty edukacyjnej. Nie mamy wiedzy</w:t>
      </w:r>
      <w:r>
        <w:rPr>
          <w:rFonts w:ascii="Times New Roman" w:hAnsi="Times New Roman"/>
        </w:rPr>
        <w:t xml:space="preserve"> na temat jakichkolwiek atutów nowego budynku. Nie będziemy mieć dostępu do budynku, w którym do czerwca prowadzone będą lekcje SP</w:t>
      </w:r>
      <w:r w:rsidR="00F82E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 Prezentowanie możliwości dotychczasowej</w:t>
      </w:r>
      <w:r w:rsidR="00851341">
        <w:rPr>
          <w:rFonts w:ascii="Times New Roman" w:hAnsi="Times New Roman"/>
        </w:rPr>
        <w:t xml:space="preserve"> lokalizacji będzie nieuczciwym</w:t>
      </w:r>
      <w:r>
        <w:rPr>
          <w:rFonts w:ascii="Times New Roman" w:hAnsi="Times New Roman"/>
        </w:rPr>
        <w:t xml:space="preserve"> nadużyciem w stosunku do uczniów.</w:t>
      </w:r>
    </w:p>
    <w:p w:rsidR="00F82E9B" w:rsidRDefault="00F82E9B" w:rsidP="00F82E9B">
      <w:pPr>
        <w:pStyle w:val="Standard"/>
        <w:keepLines/>
        <w:spacing w:before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przedstawienie danych dotyczących kosztów utrzymania budynku przy ul. Kazimierza Wielkiego 5 oraz średniej rocznej kwoty wydatków na 1 ucznia liceum z uwzględnieniem subwencji oświatowej.</w:t>
      </w:r>
    </w:p>
    <w:p w:rsidR="00C933C2" w:rsidRDefault="00C933C2" w:rsidP="00A457D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933C2" w:rsidRDefault="00C933C2" w:rsidP="00A457D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44529" w:rsidRDefault="00544529" w:rsidP="00A457D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51341" w:rsidRDefault="001A73E2" w:rsidP="00851341">
      <w:pPr>
        <w:pStyle w:val="Standard"/>
        <w:spacing w:line="360" w:lineRule="auto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Grono Pedagogiczne</w:t>
      </w:r>
    </w:p>
    <w:p w:rsidR="00C933C2" w:rsidRDefault="001A73E2" w:rsidP="00851341">
      <w:pPr>
        <w:pStyle w:val="Standard"/>
        <w:spacing w:line="360" w:lineRule="auto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Zespołu Szkół nr 1 w Pszczynie</w:t>
      </w:r>
    </w:p>
    <w:p w:rsidR="00C933C2" w:rsidRDefault="00C933C2" w:rsidP="00A457D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A457DB" w:rsidRDefault="00A457DB" w:rsidP="00A457D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A457DB" w:rsidRDefault="00A457DB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933C2" w:rsidRDefault="001A73E2" w:rsidP="00A457D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8"/>
      </w:tblGrid>
      <w:tr w:rsidR="00C933C2" w:rsidTr="005E418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C933C2" w:rsidP="005E418A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Budynek przy ul. K. Wielkiego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Budynek przy ul. S. Batorego</w:t>
            </w:r>
          </w:p>
        </w:tc>
      </w:tr>
      <w:tr w:rsidR="00C933C2" w:rsidTr="005E418A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5E418A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Liczba sal lekcyjnych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C933C2" w:rsidTr="005E418A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5E418A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Liczba pracowni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C933C2" w:rsidTr="005E418A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5E418A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Biblioteka - Księgozbiór dla uczniów LO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Bogata oferta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</w:t>
            </w:r>
          </w:p>
        </w:tc>
      </w:tr>
      <w:tr w:rsidR="00C933C2" w:rsidTr="005E418A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5E418A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Liczba sal gimnastycznych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933C2" w:rsidTr="005E418A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5E418A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Liczba hal sportowych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</w:t>
            </w:r>
          </w:p>
        </w:tc>
      </w:tr>
      <w:tr w:rsidR="00C933C2" w:rsidTr="005E418A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5E418A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Liczba boisk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( w tym boisko trawiaste)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933C2" w:rsidTr="005E418A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5E418A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Siłownia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</w:t>
            </w:r>
          </w:p>
        </w:tc>
      </w:tr>
      <w:tr w:rsidR="00C933C2" w:rsidTr="005E418A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5E418A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Sala rekreacyjna do gimnastyki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</w:t>
            </w:r>
          </w:p>
        </w:tc>
      </w:tr>
      <w:tr w:rsidR="00C933C2" w:rsidTr="005E418A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5E418A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Liczba  projektorów stacjonarnych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informacji</w:t>
            </w:r>
          </w:p>
        </w:tc>
      </w:tr>
      <w:tr w:rsidR="00C933C2" w:rsidTr="005E418A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5E418A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Liczba  projektorów przenośnych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informacji</w:t>
            </w:r>
          </w:p>
        </w:tc>
      </w:tr>
      <w:tr w:rsidR="00C933C2" w:rsidTr="005E418A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5E418A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Monitory interaktywne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informacji</w:t>
            </w:r>
          </w:p>
        </w:tc>
      </w:tr>
      <w:tr w:rsidR="00C933C2" w:rsidTr="005E418A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5E418A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Miejsce parkingowe dla uczniów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Są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</w:t>
            </w:r>
          </w:p>
        </w:tc>
      </w:tr>
    </w:tbl>
    <w:p w:rsidR="00C933C2" w:rsidRDefault="00C933C2" w:rsidP="00A457D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933C2" w:rsidRDefault="00C933C2" w:rsidP="00A457D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933C2" w:rsidRDefault="00C933C2" w:rsidP="00A457D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933C2" w:rsidRDefault="001A73E2" w:rsidP="00A457D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2409"/>
      </w:tblGrid>
      <w:tr w:rsidR="00C933C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C2" w:rsidRDefault="00C933C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2019/2020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2020/2021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2021/2022</w:t>
            </w:r>
          </w:p>
        </w:tc>
      </w:tr>
      <w:tr w:rsidR="00C933C2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Klasa 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6+6*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933C2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Klasa II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6+6*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933C2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Klasa III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6+6*</w:t>
            </w:r>
          </w:p>
        </w:tc>
      </w:tr>
      <w:tr w:rsidR="00C933C2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Razem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C2" w:rsidRDefault="001A73E2" w:rsidP="00A457DB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</w:tbl>
    <w:p w:rsidR="00C933C2" w:rsidRDefault="001A73E2" w:rsidP="005E418A">
      <w:pPr>
        <w:pStyle w:val="Standard"/>
        <w:spacing w:line="276" w:lineRule="auto"/>
        <w:jc w:val="both"/>
      </w:pPr>
      <w:r>
        <w:rPr>
          <w:rFonts w:ascii="Times New Roman" w:hAnsi="Times New Roman"/>
        </w:rPr>
        <w:t xml:space="preserve">* </w:t>
      </w:r>
      <w:r w:rsidRPr="005E418A">
        <w:rPr>
          <w:rFonts w:ascii="Times New Roman" w:hAnsi="Times New Roman"/>
          <w:sz w:val="22"/>
        </w:rPr>
        <w:t>Zgodnie z wyliczeniem wicestarosty Damiana Cieszewskiego przeds</w:t>
      </w:r>
      <w:r w:rsidR="005E418A">
        <w:rPr>
          <w:rFonts w:ascii="Times New Roman" w:hAnsi="Times New Roman"/>
          <w:sz w:val="22"/>
        </w:rPr>
        <w:t>tawionym Radzie Pedagogicznej w </w:t>
      </w:r>
      <w:r w:rsidRPr="005E418A">
        <w:rPr>
          <w:rFonts w:ascii="Times New Roman" w:hAnsi="Times New Roman"/>
          <w:sz w:val="22"/>
        </w:rPr>
        <w:t>dniu 08.01.2019r.</w:t>
      </w:r>
    </w:p>
    <w:sectPr w:rsidR="00C933C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A4" w:rsidRDefault="00E137A4">
      <w:r>
        <w:separator/>
      </w:r>
    </w:p>
  </w:endnote>
  <w:endnote w:type="continuationSeparator" w:id="0">
    <w:p w:rsidR="00E137A4" w:rsidRDefault="00E1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A4" w:rsidRDefault="00E137A4">
      <w:r>
        <w:rPr>
          <w:color w:val="000000"/>
        </w:rPr>
        <w:separator/>
      </w:r>
    </w:p>
  </w:footnote>
  <w:footnote w:type="continuationSeparator" w:id="0">
    <w:p w:rsidR="00E137A4" w:rsidRDefault="00E13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C2"/>
    <w:rsid w:val="00046782"/>
    <w:rsid w:val="001A73E2"/>
    <w:rsid w:val="00544529"/>
    <w:rsid w:val="005649A2"/>
    <w:rsid w:val="005E418A"/>
    <w:rsid w:val="00851341"/>
    <w:rsid w:val="008E0FD5"/>
    <w:rsid w:val="009735C8"/>
    <w:rsid w:val="00A457DB"/>
    <w:rsid w:val="00C933C2"/>
    <w:rsid w:val="00C94C1B"/>
    <w:rsid w:val="00E137A4"/>
    <w:rsid w:val="00E47363"/>
    <w:rsid w:val="00F82E9B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8D3F9-8186-4A3D-A729-F5EE8356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"/>
    <w:pPr>
      <w:outlineLvl w:val="0"/>
    </w:pPr>
    <w:rPr>
      <w:b/>
      <w:bCs/>
    </w:rPr>
  </w:style>
  <w:style w:type="paragraph" w:styleId="Nagwek2">
    <w:name w:val="heading 2"/>
    <w:basedOn w:val="Heading"/>
    <w:next w:val="Text"/>
    <w:pPr>
      <w:outlineLvl w:val="1"/>
    </w:pPr>
    <w:rPr>
      <w:b/>
      <w:bCs/>
      <w:i/>
      <w:iCs/>
    </w:rPr>
  </w:style>
  <w:style w:type="paragraph" w:styleId="Nagwek3">
    <w:name w:val="heading 3"/>
    <w:basedOn w:val="Heading"/>
    <w:next w:val="Text"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">
    <w:name w:val="Text"/>
    <w:basedOn w:val="Standard"/>
    <w:pPr>
      <w:spacing w:after="140" w:line="276" w:lineRule="auto"/>
    </w:pPr>
  </w:style>
  <w:style w:type="paragraph" w:styleId="Lista">
    <w:name w:val="List"/>
    <w:basedOn w:val="Text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7D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7D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Joanna Pszonak</cp:lastModifiedBy>
  <cp:revision>12</cp:revision>
  <cp:lastPrinted>2019-01-10T14:46:00Z</cp:lastPrinted>
  <dcterms:created xsi:type="dcterms:W3CDTF">2019-01-10T14:37:00Z</dcterms:created>
  <dcterms:modified xsi:type="dcterms:W3CDTF">2019-01-11T12:51:00Z</dcterms:modified>
</cp:coreProperties>
</file>